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</w:r>
    </w:p>
    <w:p>
      <w:r>
        <w:t>Учебная компания «Контур» · пример для статьи «Автомато»</w:t>
      </w:r>
    </w:p>
    <w:p>
      <w:r>
        <w:t>Все условия и компания в этом документе вымышлены. Файл показывает структуру КП и проверку расчёта; рабочие условия определяются отдельным предложением исполнителя.</w:t>
      </w:r>
    </w:p>
    <w:p>
      <w:pPr>
        <w:pStyle w:val="Heading1"/>
      </w:pPr>
      <w:r>
        <w:t>Ваш заказ</w:t>
      </w:r>
    </w:p>
    <w:p>
      <w:r>
        <w:t>Предлагаем изготовить и установить 30 погонных метров металлического ограждения для частного участка. Монтаж включён в стоимость метра. Ворота и калитка в данный расчёт не входят.</w:t>
      </w:r>
    </w:p>
    <w:p>
      <w:pPr>
        <w:pStyle w:val="Heading1"/>
      </w:pPr>
      <w:r>
        <w:t>Расчёт стоимости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bottom w:w="100" w:type="dxa"/>
          <w:left w:w="100" w:type="dxa"/>
          <w:right w:w="100" w:type="dxa"/>
        </w:tblCellMar>
      </w:tblPr>
      <w:tblGrid>
        <w:gridCol w:w="3969"/>
        <w:gridCol w:w="1134"/>
        <w:gridCol w:w="1701"/>
        <w:gridCol w:w="2268"/>
      </w:tblGrid>
      <w:tr>
        <w:trPr>
          <w:tblHeader/>
        </w:trPr>
        <w:tc>
          <w:tcPr>
            <w:tcW w:type="dxa" w:w="2493"/>
          </w:tcPr>
          <w:p>
            <w:pPr>
              <w:spacing w:after="60"/>
            </w:pPr>
            <w:r>
              <w:rPr>
                <w:sz w:val="20"/>
              </w:rPr>
              <w:t>Состав</w:t>
            </w:r>
          </w:p>
        </w:tc>
        <w:tc>
          <w:tcPr>
            <w:tcW w:type="dxa" w:w="2493"/>
          </w:tcPr>
          <w:p>
            <w:pPr>
              <w:spacing w:after="60"/>
            </w:pPr>
            <w:r>
              <w:rPr>
                <w:sz w:val="20"/>
              </w:rPr>
              <w:t>Объём</w:t>
            </w:r>
          </w:p>
        </w:tc>
        <w:tc>
          <w:tcPr>
            <w:tcW w:type="dxa" w:w="2493"/>
          </w:tcPr>
          <w:p>
            <w:pPr>
              <w:spacing w:after="6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2493"/>
          </w:tcPr>
          <w:p>
            <w:pPr>
              <w:spacing w:after="60"/>
            </w:pPr>
            <w:r>
              <w:rPr>
                <w:sz w:val="20"/>
              </w:rPr>
              <w:t>Сумма</w:t>
            </w:r>
          </w:p>
        </w:tc>
      </w:tr>
      <w:tr>
        <w:tc>
          <w:tcPr>
            <w:tcW w:type="dxa" w:w="3969"/>
          </w:tcPr>
          <w:p>
            <w:pPr>
              <w:spacing w:after="60"/>
            </w:pPr>
            <w:r>
              <w:rPr>
                <w:sz w:val="20"/>
              </w:rPr>
              <w:t>Ограждение с монтажом</w:t>
            </w:r>
          </w:p>
        </w:tc>
        <w:tc>
          <w:tcPr>
            <w:tcW w:type="dxa" w:w="1134"/>
          </w:tcPr>
          <w:p>
            <w:pPr>
              <w:spacing w:after="60"/>
            </w:pPr>
            <w:r>
              <w:rPr>
                <w:sz w:val="20"/>
              </w:rPr>
              <w:t>30 п. м</w:t>
            </w:r>
          </w:p>
        </w:tc>
        <w:tc>
          <w:tcPr>
            <w:tcW w:type="dxa" w:w="1701"/>
          </w:tcPr>
          <w:p>
            <w:pPr>
              <w:spacing w:after="60"/>
            </w:pPr>
            <w:r>
              <w:rPr>
                <w:sz w:val="20"/>
              </w:rPr>
              <w:t>1 800 ₽</w:t>
            </w:r>
          </w:p>
        </w:tc>
        <w:tc>
          <w:tcPr>
            <w:tcW w:type="dxa" w:w="2268"/>
          </w:tcPr>
          <w:p>
            <w:pPr>
              <w:spacing w:after="60"/>
            </w:pPr>
            <w:r>
              <w:rPr>
                <w:sz w:val="20"/>
              </w:rPr>
              <w:t>54 000 ₽</w:t>
            </w:r>
          </w:p>
        </w:tc>
      </w:tr>
      <w:tr>
        <w:tc>
          <w:tcPr>
            <w:tcW w:type="dxa" w:w="3969"/>
          </w:tcPr>
          <w:p>
            <w:pPr>
              <w:spacing w:after="60"/>
            </w:pPr>
            <w:r>
              <w:rPr>
                <w:sz w:val="20"/>
              </w:rPr>
              <w:t>Доставка</w:t>
            </w:r>
          </w:p>
        </w:tc>
        <w:tc>
          <w:tcPr>
            <w:tcW w:type="dxa" w:w="1134"/>
          </w:tcPr>
          <w:p>
            <w:pPr>
              <w:spacing w:after="60"/>
            </w:pPr>
            <w:r>
              <w:rPr>
                <w:sz w:val="20"/>
              </w:rPr>
              <w:t>1 заказ</w:t>
            </w:r>
          </w:p>
        </w:tc>
        <w:tc>
          <w:tcPr>
            <w:tcW w:type="dxa" w:w="1701"/>
          </w:tcPr>
          <w:p>
            <w:pPr>
              <w:spacing w:after="60"/>
            </w:pPr>
            <w:r>
              <w:rPr>
                <w:sz w:val="20"/>
              </w:rPr>
              <w:t>6 000 ₽</w:t>
            </w:r>
          </w:p>
        </w:tc>
        <w:tc>
          <w:tcPr>
            <w:tcW w:type="dxa" w:w="2268"/>
          </w:tcPr>
          <w:p>
            <w:pPr>
              <w:spacing w:after="60"/>
            </w:pPr>
            <w:r>
              <w:rPr>
                <w:sz w:val="20"/>
              </w:rPr>
              <w:t>6 000 ₽</w:t>
            </w:r>
          </w:p>
        </w:tc>
      </w:tr>
      <w:tr>
        <w:tc>
          <w:tcPr>
            <w:tcW w:type="dxa" w:w="3969"/>
          </w:tcPr>
          <w:p>
            <w:pPr>
              <w:spacing w:after="60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134"/>
          </w:tcPr>
          <w:p>
            <w:pPr>
              <w:spacing w:after="60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60"/>
            </w:pPr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60"/>
            </w:pPr>
            <w:r>
              <w:rPr>
                <w:sz w:val="20"/>
              </w:rPr>
              <w:t>60 000 ₽</w:t>
            </w:r>
          </w:p>
        </w:tc>
      </w:tr>
    </w:tbl>
    <w:p>
      <w:pPr>
        <w:pStyle w:val="Heading1"/>
      </w:pPr>
      <w:r>
        <w:t>Оплата и срок</w:t>
      </w:r>
    </w:p>
    <w:p>
      <w:r>
        <w:t>Аванс 50% — 30 000 рублей. После приёмки — оставшиеся 30 000 рублей. Срок изготовления и монтажа согласуется после замера.</w:t>
      </w:r>
    </w:p>
    <w:p>
      <w:pPr>
        <w:pStyle w:val="Heading1"/>
      </w:pPr>
      <w:r>
        <w:t>Что уточнить перед заказом</w:t>
      </w:r>
    </w:p>
    <w:p>
      <w:r>
        <w:t>На замере подтверждаем длину, высоту, состояние участка и состав работ. География обслуживания, гарантия и условия по НДС в учебном источнике отсутствуют и требуют отдельного согласования.</w:t>
      </w:r>
    </w:p>
    <w:p>
      <w:pPr>
        <w:pStyle w:val="Heading1"/>
      </w:pPr>
      <w:r>
        <w:t>Следующий шаг</w:t>
      </w:r>
    </w:p>
    <w:p>
      <w:r>
        <w:t>Согласуйте замер и подтвердите состав заказа. После этого исполнитель сможет назвать срок и оформить рабочее предложение.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